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CA" w:rsidRPr="00D031CA" w:rsidRDefault="00D031CA" w:rsidP="00CD12A7">
      <w:pPr>
        <w:spacing w:after="0" w:line="240" w:lineRule="auto"/>
        <w:jc w:val="center"/>
        <w:rPr>
          <w:b/>
        </w:rPr>
      </w:pPr>
      <w:r w:rsidRPr="00D031CA">
        <w:rPr>
          <w:b/>
        </w:rPr>
        <w:t>National Council for State Authorization Reciprocity Agreements Committee</w:t>
      </w:r>
    </w:p>
    <w:p w:rsidR="00255A4D" w:rsidRPr="00D031CA" w:rsidRDefault="00D031CA" w:rsidP="00CD12A7">
      <w:pPr>
        <w:spacing w:after="0" w:line="240" w:lineRule="auto"/>
        <w:jc w:val="center"/>
        <w:rPr>
          <w:b/>
        </w:rPr>
      </w:pPr>
      <w:r w:rsidRPr="00D031CA">
        <w:rPr>
          <w:b/>
        </w:rPr>
        <w:t>(NC-SARA)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41"/>
        <w:gridCol w:w="7609"/>
      </w:tblGrid>
      <w:tr w:rsidR="00D031CA" w:rsidRPr="00D031CA" w:rsidTr="00CD12A7">
        <w:trPr>
          <w:trHeight w:val="863"/>
        </w:trPr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Purpose</w:t>
            </w: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98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To develop and execute a multi-year plan to ensure that the College’s online courses and programs are in compliance with federal and state mandates as they apply to the Council of Regional Accrediting Commissions Guidelines.  </w:t>
            </w:r>
            <w:r w:rsidR="00CD12A7" w:rsidRPr="00D031CA">
              <w:rPr>
                <w:sz w:val="20"/>
                <w:szCs w:val="20"/>
              </w:rPr>
              <w:t>(C-RAC)</w:t>
            </w:r>
          </w:p>
        </w:tc>
      </w:tr>
      <w:tr w:rsidR="00D031CA" w:rsidRPr="00D031CA" w:rsidTr="00F2702A">
        <w:trPr>
          <w:trHeight w:val="1713"/>
        </w:trPr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Members</w:t>
            </w: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98" w:type="dxa"/>
          </w:tcPr>
          <w:p w:rsidR="00D031CA" w:rsidRPr="00D031CA" w:rsidRDefault="00D031CA" w:rsidP="00CD12A7">
            <w:pPr>
              <w:numPr>
                <w:ilvl w:val="0"/>
                <w:numId w:val="4"/>
              </w:numPr>
              <w:spacing w:before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Director, Instructional Support &amp; Online Learning (ISOL), </w:t>
            </w:r>
            <w:r w:rsidRPr="00D031CA">
              <w:rPr>
                <w:b/>
                <w:sz w:val="20"/>
                <w:szCs w:val="20"/>
              </w:rPr>
              <w:t>(Chair)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Coordinator of </w:t>
            </w:r>
            <w:r w:rsidRPr="00CE4913">
              <w:rPr>
                <w:sz w:val="20"/>
                <w:szCs w:val="20"/>
              </w:rPr>
              <w:t>Admissions</w:t>
            </w:r>
          </w:p>
          <w:p w:rsidR="00436D8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4913">
              <w:rPr>
                <w:sz w:val="20"/>
                <w:szCs w:val="20"/>
              </w:rPr>
              <w:t xml:space="preserve">Associate VP Instructional Services </w:t>
            </w:r>
          </w:p>
          <w:p w:rsidR="00436D8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Dean, Business and Hospitality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Dean, Arts &amp; Sciences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Business and Auxiliary Services 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4913">
              <w:rPr>
                <w:sz w:val="20"/>
                <w:szCs w:val="20"/>
              </w:rPr>
              <w:t>Registrar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Administrative Applications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</w:t>
            </w:r>
            <w:r w:rsidRPr="00CE4913">
              <w:rPr>
                <w:sz w:val="20"/>
                <w:szCs w:val="20"/>
              </w:rPr>
              <w:t>Financial Aid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</w:t>
            </w:r>
            <w:r w:rsidRPr="00CE4913">
              <w:rPr>
                <w:sz w:val="20"/>
                <w:szCs w:val="20"/>
              </w:rPr>
              <w:t>Professional Development</w:t>
            </w:r>
            <w:r w:rsidRPr="00CE4913">
              <w:rPr>
                <w:b/>
                <w:sz w:val="20"/>
                <w:szCs w:val="20"/>
              </w:rPr>
              <w:t xml:space="preserve"> 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E4913">
              <w:rPr>
                <w:sz w:val="20"/>
                <w:szCs w:val="20"/>
              </w:rPr>
              <w:t>Director, Curriculum Assurance</w:t>
            </w:r>
          </w:p>
          <w:p w:rsidR="00436D83" w:rsidRPr="00CE4913" w:rsidRDefault="00436D83" w:rsidP="00436D83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E4913">
              <w:rPr>
                <w:sz w:val="20"/>
                <w:szCs w:val="20"/>
              </w:rPr>
              <w:t xml:space="preserve">Director, </w:t>
            </w:r>
            <w:r>
              <w:rPr>
                <w:sz w:val="20"/>
                <w:szCs w:val="20"/>
              </w:rPr>
              <w:t xml:space="preserve">Workforce and </w:t>
            </w:r>
            <w:r w:rsidRPr="00CE4913">
              <w:rPr>
                <w:sz w:val="20"/>
                <w:szCs w:val="20"/>
              </w:rPr>
              <w:t xml:space="preserve">Continuing Education </w:t>
            </w:r>
          </w:p>
          <w:p w:rsidR="00D031CA" w:rsidRPr="00D031CA" w:rsidRDefault="00436D83" w:rsidP="00436D83">
            <w:pPr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Economic and Workforce Development</w:t>
            </w:r>
          </w:p>
        </w:tc>
      </w:tr>
      <w:tr w:rsidR="00D031CA" w:rsidRPr="00D031CA" w:rsidTr="00F2702A"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Owners</w:t>
            </w:r>
          </w:p>
        </w:tc>
        <w:tc>
          <w:tcPr>
            <w:tcW w:w="7898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Vice President of  Student Services, and Vice President for Instructional Services</w:t>
            </w:r>
          </w:p>
        </w:tc>
      </w:tr>
      <w:tr w:rsidR="00D031CA" w:rsidRPr="00D031CA" w:rsidTr="00F2702A"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Timeline</w:t>
            </w:r>
          </w:p>
        </w:tc>
        <w:tc>
          <w:tcPr>
            <w:tcW w:w="7898" w:type="dxa"/>
          </w:tcPr>
          <w:p w:rsidR="00D031CA" w:rsidRPr="00D031CA" w:rsidRDefault="00D031CA" w:rsidP="00E413D0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Committee meets at least bi-monthly. </w:t>
            </w:r>
            <w:r w:rsidR="00436D83">
              <w:rPr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 xml:space="preserve">Work groups meet more frequently to address specific assignments, as needed. </w:t>
            </w:r>
          </w:p>
        </w:tc>
      </w:tr>
      <w:tr w:rsidR="00D031CA" w:rsidRPr="00D031CA" w:rsidTr="00F2702A"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Activities</w:t>
            </w: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98" w:type="dxa"/>
          </w:tcPr>
          <w:p w:rsidR="00D031CA" w:rsidRPr="00D031CA" w:rsidRDefault="00D031CA" w:rsidP="00CD12A7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Research, identify, and record necessary requirements to meet federal and state-level guidelines.</w:t>
            </w:r>
          </w:p>
          <w:p w:rsidR="00D031CA" w:rsidRPr="00D031CA" w:rsidRDefault="00D031CA" w:rsidP="00CD12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Conduct comprehensive assessment of current online review and quality assessment procedure.</w:t>
            </w:r>
          </w:p>
          <w:p w:rsidR="00D031CA" w:rsidRPr="00D031CA" w:rsidRDefault="00D031CA" w:rsidP="00CD12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Plan to implement necessary changes identified during steps 1 and 2.  </w:t>
            </w:r>
          </w:p>
          <w:p w:rsidR="00D031CA" w:rsidRPr="00D031CA" w:rsidRDefault="00D031CA" w:rsidP="00CD12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Develop list of recommendations for college-wide initiatives to ensure that A-B Tech is providing quality online programs as they relate to the Quality Matter Rubric.</w:t>
            </w:r>
          </w:p>
          <w:p w:rsidR="00D031CA" w:rsidRPr="00D031CA" w:rsidRDefault="00D031CA" w:rsidP="00CD12A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Develop list of recommended faculty and staff training to ensure ongoing compliance.  </w:t>
            </w:r>
          </w:p>
        </w:tc>
      </w:tr>
      <w:tr w:rsidR="00D031CA" w:rsidRPr="00D031CA" w:rsidTr="00F2702A"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Deliverables</w:t>
            </w:r>
          </w:p>
        </w:tc>
        <w:tc>
          <w:tcPr>
            <w:tcW w:w="7898" w:type="dxa"/>
          </w:tcPr>
          <w:p w:rsidR="00D031CA" w:rsidRPr="00D031CA" w:rsidRDefault="00D031CA" w:rsidP="00D031CA">
            <w:pPr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A comprehensive, multi-year Quality Online method for maintaining compliance.</w:t>
            </w:r>
          </w:p>
        </w:tc>
      </w:tr>
      <w:tr w:rsidR="00D031CA" w:rsidRPr="00D031CA" w:rsidTr="00CD12A7">
        <w:trPr>
          <w:trHeight w:val="1308"/>
        </w:trPr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Outcomes</w:t>
            </w:r>
          </w:p>
        </w:tc>
        <w:tc>
          <w:tcPr>
            <w:tcW w:w="7898" w:type="dxa"/>
          </w:tcPr>
          <w:p w:rsidR="00D031CA" w:rsidRPr="00D031CA" w:rsidRDefault="00D031CA" w:rsidP="00CD12A7">
            <w:pPr>
              <w:numPr>
                <w:ilvl w:val="0"/>
                <w:numId w:val="3"/>
              </w:numPr>
              <w:spacing w:before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An assessment of current success rates of online programs and classes.</w:t>
            </w:r>
          </w:p>
          <w:p w:rsidR="00D031CA" w:rsidRPr="00D031CA" w:rsidRDefault="00D031CA" w:rsidP="00CD12A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Needs (e.g., staff, technology, software, training, staff dedication, college standards, etc.) to ensure current and ongoing compliance. </w:t>
            </w:r>
          </w:p>
          <w:p w:rsidR="00CD12A7" w:rsidRPr="00CD12A7" w:rsidRDefault="00D031CA" w:rsidP="00CD12A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An action plan identifying next steps, including design, implantation, a</w:t>
            </w:r>
            <w:r w:rsidR="00CD12A7">
              <w:rPr>
                <w:sz w:val="20"/>
                <w:szCs w:val="20"/>
              </w:rPr>
              <w:t>nd evaluation timeline.</w:t>
            </w:r>
          </w:p>
        </w:tc>
      </w:tr>
      <w:tr w:rsidR="00D031CA" w:rsidRPr="00D031CA" w:rsidTr="00F2702A">
        <w:tc>
          <w:tcPr>
            <w:tcW w:w="1452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Report</w:t>
            </w:r>
          </w:p>
        </w:tc>
        <w:tc>
          <w:tcPr>
            <w:tcW w:w="7898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Quarterly and Annual Report to ELT</w:t>
            </w:r>
          </w:p>
        </w:tc>
      </w:tr>
      <w:tr w:rsidR="00D031CA" w:rsidRPr="00D031CA" w:rsidTr="00F2702A">
        <w:tc>
          <w:tcPr>
            <w:tcW w:w="1452" w:type="dxa"/>
          </w:tcPr>
          <w:p w:rsidR="00D031CA" w:rsidRPr="00D031CA" w:rsidRDefault="00E413D0" w:rsidP="00D031C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 for 2017-2018</w:t>
            </w:r>
          </w:p>
        </w:tc>
        <w:tc>
          <w:tcPr>
            <w:tcW w:w="7898" w:type="dxa"/>
          </w:tcPr>
          <w:p w:rsidR="00D031CA" w:rsidRPr="00D031CA" w:rsidRDefault="00D031CA" w:rsidP="00D031CA">
            <w:pPr>
              <w:spacing w:before="120" w:after="120"/>
              <w:rPr>
                <w:sz w:val="20"/>
                <w:szCs w:val="20"/>
              </w:rPr>
            </w:pPr>
            <w:r w:rsidRPr="00D031CA">
              <w:rPr>
                <w:b/>
                <w:sz w:val="20"/>
                <w:szCs w:val="20"/>
              </w:rPr>
              <w:t>NC-SARA &amp; SARA-NC</w:t>
            </w:r>
            <w:r w:rsidRPr="00D031CA">
              <w:rPr>
                <w:sz w:val="20"/>
                <w:szCs w:val="20"/>
              </w:rPr>
              <w:t xml:space="preserve"> will task the </w:t>
            </w:r>
            <w:r w:rsidR="00CD12A7">
              <w:rPr>
                <w:sz w:val="20"/>
                <w:szCs w:val="20"/>
              </w:rPr>
              <w:t>C</w:t>
            </w:r>
            <w:r w:rsidRPr="00D031CA">
              <w:rPr>
                <w:sz w:val="20"/>
                <w:szCs w:val="20"/>
              </w:rPr>
              <w:t>ollege with reviewing courses, working with faculty to improve those courses that are not performing at a high level and maintain the C-RAC guidelines.</w:t>
            </w:r>
          </w:p>
        </w:tc>
      </w:tr>
    </w:tbl>
    <w:p w:rsidR="004C2F61" w:rsidRDefault="00E413D0">
      <w:r>
        <w:lastRenderedPageBreak/>
        <w:t>Updated August 2017</w:t>
      </w:r>
      <w:bookmarkStart w:id="0" w:name="_GoBack"/>
      <w:bookmarkEnd w:id="0"/>
    </w:p>
    <w:sectPr w:rsidR="004C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1D6"/>
    <w:multiLevelType w:val="hybridMultilevel"/>
    <w:tmpl w:val="990C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2116"/>
    <w:multiLevelType w:val="hybridMultilevel"/>
    <w:tmpl w:val="8ED6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3960"/>
    <w:multiLevelType w:val="hybridMultilevel"/>
    <w:tmpl w:val="55B2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6182"/>
    <w:multiLevelType w:val="hybridMultilevel"/>
    <w:tmpl w:val="B290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A"/>
    <w:rsid w:val="00255A4D"/>
    <w:rsid w:val="00436D83"/>
    <w:rsid w:val="004C2F61"/>
    <w:rsid w:val="00CD12A7"/>
    <w:rsid w:val="00D031CA"/>
    <w:rsid w:val="00E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13DB"/>
  <w15:chartTrackingRefBased/>
  <w15:docId w15:val="{FCAD18B3-58DE-4AD7-9373-DFB95DE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1070</Policy_x0020_Topic>
    <Related_x0020_Forms xmlns="35a135f3-0890-48fe-9b8a-01319c4a237d"/>
    <_dlc_DocId xmlns="bebb4801-54de-4360-b8be-17d68ad98198">5XFVYUFMDQTF-1824054229-664</_dlc_DocId>
    <_dlc_DocIdUrl xmlns="bebb4801-54de-4360-b8be-17d68ad98198">
      <Url>https://policies.abtech.edu/_layouts/15/DocIdRedir.aspx?ID=5XFVYUFMDQTF-1824054229-664</Url>
      <Description>5XFVYUFMDQTF-1824054229-664</Description>
    </_dlc_DocIdUrl>
    <_dlc_DocIdPersistId xmlns="bebb4801-54de-4360-b8be-17d68ad98198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814CB-D747-483D-AA9B-7DE8BC763195}"/>
</file>

<file path=customXml/itemProps2.xml><?xml version="1.0" encoding="utf-8"?>
<ds:datastoreItem xmlns:ds="http://schemas.openxmlformats.org/officeDocument/2006/customXml" ds:itemID="{882B8EB3-1E23-4A9E-B2DC-A99F85382141}"/>
</file>

<file path=customXml/itemProps3.xml><?xml version="1.0" encoding="utf-8"?>
<ds:datastoreItem xmlns:ds="http://schemas.openxmlformats.org/officeDocument/2006/customXml" ds:itemID="{7E842D81-D494-409C-A565-2590A5FC3553}"/>
</file>

<file path=customXml/itemProps4.xml><?xml version="1.0" encoding="utf-8"?>
<ds:datastoreItem xmlns:ds="http://schemas.openxmlformats.org/officeDocument/2006/customXml" ds:itemID="{D8ACC71D-C3CD-4EC2-8FA5-91902E12C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NC-SARA  Committee Information 2017-2018</dc:title>
  <dc:subject/>
  <dc:creator>Carolyn H Rice</dc:creator>
  <cp:keywords/>
  <dc:description/>
  <cp:lastModifiedBy>Carolyn H Rice</cp:lastModifiedBy>
  <cp:revision>4</cp:revision>
  <dcterms:created xsi:type="dcterms:W3CDTF">2016-12-08T20:41:00Z</dcterms:created>
  <dcterms:modified xsi:type="dcterms:W3CDTF">2017-08-08T20:20:00Z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cba8c43e-2486-449b-b992-0586693f3873</vt:lpwstr>
  </property>
  <property fmtid="{D5CDD505-2E9C-101B-9397-08002B2CF9AE}" pid="4" name="Order">
    <vt:r8>66400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